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&lt;Письмо&gt; Минобрнауки РФ от 12.05.2011 N 03-296</w:t>
            </w:r>
            <w:r>
              <w:rPr/>
              <w:br/>
            </w:r>
            <w:r>
              <w:rPr>
                <w:sz w:val="48"/>
              </w:rPr>
              <w:t>"Об организации внеурочной деятельности при введении федерального государственного образовательного стандарта общего образования"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>Документ предоставлен </w:t>
            </w:r>
            <w:hyperlink r:id="rId3">
              <w:r>
                <w:rPr>
                  <w:rStyle w:val="ListLabel1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1"/>
                </w:rPr>
                <w:br/>
                <w:br/>
              </w:r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 09.02.2018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МИНИСТЕРСТВО ОБРАЗОВАНИЯ И НАУКИ РОССИЙСКОЙ ФЕДЕРАЦИИ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ДЕПАРТАМЕНТ ОБЩЕГО ОБРАЗОВАНИЯ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ПИСЬМО</w:t>
      </w:r>
    </w:p>
    <w:p>
      <w:pPr>
        <w:pStyle w:val="ConsPlusTitle"/>
        <w:ind w:left="0" w:hanging="0"/>
        <w:jc w:val="center"/>
        <w:rPr/>
      </w:pPr>
      <w:r>
        <w:rPr/>
        <w:t>от 12 мая 2011 г. N 03-296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ОБ ОРГАНИЗАЦИИ ВНЕУРОЧНОЙ ДЕЯТЕЛЬНОСТИ</w:t>
      </w:r>
    </w:p>
    <w:p>
      <w:pPr>
        <w:pStyle w:val="ConsPlusTitle"/>
        <w:ind w:left="0" w:hanging="0"/>
        <w:jc w:val="center"/>
        <w:rPr/>
      </w:pPr>
      <w:r>
        <w:rPr/>
        <w:t>ПРИ ВВЕДЕНИИ ФЕДЕРАЛЬНОГО ГОСУДАРСТВЕННОГО ОБРАЗОВАТЕЛЬНОГО</w:t>
      </w:r>
    </w:p>
    <w:p>
      <w:pPr>
        <w:pStyle w:val="ConsPlusTitle"/>
        <w:ind w:left="0" w:hanging="0"/>
        <w:jc w:val="center"/>
        <w:rPr/>
      </w:pPr>
      <w:r>
        <w:rPr/>
        <w:t>СТАНДАРТА ОБЩЕГО ОБРАЗОВАНИЯ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Департамент общего образования Минобрнауки России направляет для использования в работе </w:t>
      </w:r>
      <w:hyperlink w:anchor="Par23" w:tgtFrame="МЕТОДИЧЕСКИЕ МАТЕРИАЛЫ">
        <w:r>
          <w:rPr>
            <w:rStyle w:val="ListLabel3"/>
            <w:color w:val="0000FF"/>
          </w:rPr>
          <w:t>материалы</w:t>
        </w:r>
      </w:hyperlink>
      <w:r>
        <w:rPr/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19 апреля 2011 г.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Директор Департамента</w:t>
      </w:r>
    </w:p>
    <w:p>
      <w:pPr>
        <w:pStyle w:val="ConsPlusNormal"/>
        <w:ind w:left="0" w:hanging="0"/>
        <w:jc w:val="right"/>
        <w:rPr/>
      </w:pPr>
      <w:r>
        <w:rPr/>
        <w:t>Е.Л.НИЗИЕНКО</w:t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0" w:name="Par23"/>
      <w:bookmarkEnd w:id="0"/>
      <w:r>
        <w:rPr/>
        <w:t>МЕТОДИЧЕСКИЕ МАТЕРИАЛЫ</w:t>
      </w:r>
    </w:p>
    <w:p>
      <w:pPr>
        <w:pStyle w:val="ConsPlusNormal"/>
        <w:ind w:left="0" w:hanging="0"/>
        <w:jc w:val="center"/>
        <w:rPr/>
      </w:pPr>
      <w:r>
        <w:rPr/>
        <w:t>ПО ОРГАНИЗАЦИИ ВНЕУРОЧНОЙ ДЕЯТЕЛЬНОСТИ В ОБРАЗОВАТЕЛЬНЫХ</w:t>
      </w:r>
    </w:p>
    <w:p>
      <w:pPr>
        <w:pStyle w:val="ConsPlusNormal"/>
        <w:ind w:left="0" w:hanging="0"/>
        <w:jc w:val="center"/>
        <w:rPr/>
      </w:pPr>
      <w:r>
        <w:rPr/>
        <w:t>УЧРЕЖДЕНИЯХ, РЕАЛИЗУЮЩИХ ОБЩЕОБРАЗОВАТЕЛЬНЫЕ ПРОГРАММЫ</w:t>
      </w:r>
    </w:p>
    <w:p>
      <w:pPr>
        <w:pStyle w:val="ConsPlusNormal"/>
        <w:ind w:left="0" w:hanging="0"/>
        <w:jc w:val="center"/>
        <w:rPr/>
      </w:pPr>
      <w:r>
        <w:rPr/>
        <w:t>НАЧАЛЬНОГО ОБЩЕГО ОБРАЗОВАНИЯ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Основные задачи внеурочной деятельности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Кроме того, внеурочная деятельность в начальной школе позволяет решить еще целый ряд очень важных задач: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обеспечить благоприятную адаптацию ребенка в школе;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оптимизировать учебную нагрузку обучающихся;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улучшить условия для развития ребенка;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учесть возрастные и индивидуальные особенности обучающихся.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Организационные модели внеурочной деятельности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nformat"/>
        <w:ind w:left="0" w:hanging="0"/>
        <w:jc w:val="both"/>
        <w:rPr/>
      </w:pPr>
      <w:r>
        <w:rPr/>
        <w:t>┌───────────────────────────┐                    ┌────────────────────────┐</w:t>
      </w:r>
    </w:p>
    <w:p>
      <w:pPr>
        <w:pStyle w:val="ConsPlusNonformat"/>
        <w:ind w:left="0" w:hanging="0"/>
        <w:jc w:val="both"/>
        <w:rPr/>
      </w:pPr>
      <w:r>
        <w:rPr/>
        <w:t xml:space="preserve">│       </w:t>
      </w:r>
      <w:r>
        <w:rPr/>
        <w:t>Инновационная       │                    │  Иные педагогические   │</w:t>
      </w:r>
    </w:p>
    <w:p>
      <w:pPr>
        <w:pStyle w:val="ConsPlusNonformat"/>
        <w:ind w:left="0" w:hanging="0"/>
        <w:jc w:val="both"/>
        <w:rPr/>
      </w:pPr>
      <w:r>
        <w:rPr/>
        <w:t xml:space="preserve">│    </w:t>
      </w:r>
      <w:r>
        <w:rPr/>
        <w:t>(экспериментальная,    │                    │       работники        │</w:t>
      </w:r>
    </w:p>
    <w:p>
      <w:pPr>
        <w:pStyle w:val="ConsPlusNonformat"/>
        <w:ind w:left="0" w:hanging="0"/>
        <w:jc w:val="both"/>
        <w:rPr/>
      </w:pPr>
      <w:r>
        <w:rPr/>
        <w:t xml:space="preserve">│ </w:t>
      </w:r>
      <w:r>
        <w:rPr/>
        <w:t>пилотная, внедренческая)  │                    │                        │</w:t>
      </w:r>
    </w:p>
    <w:p>
      <w:pPr>
        <w:pStyle w:val="ConsPlusNonformat"/>
        <w:ind w:left="0" w:hanging="0"/>
        <w:jc w:val="both"/>
        <w:rPr/>
      </w:pPr>
      <w:r>
        <w:rPr/>
        <w:t xml:space="preserve">│         </w:t>
      </w:r>
      <w:r>
        <w:rPr/>
        <w:t>площадка          │    ┌────────────┐  │Должностные обязанности │</w:t>
      </w:r>
    </w:p>
    <w:p>
      <w:pPr>
        <w:pStyle w:val="ConsPlusNonformat"/>
        <w:ind w:left="0" w:hanging="0"/>
        <w:jc w:val="both"/>
        <w:rPr/>
      </w:pPr>
      <w:r>
        <w:rPr/>
        <w:t xml:space="preserve">│       </w:t>
      </w:r>
      <w:r>
        <w:rPr/>
        <w:t>Инновационная       │    │внеурочная  │  │ педагога-организатора, │</w:t>
      </w:r>
    </w:p>
    <w:p>
      <w:pPr>
        <w:pStyle w:val="ConsPlusNonformat"/>
        <w:ind w:left="0" w:hanging="0"/>
        <w:jc w:val="both"/>
        <w:rPr/>
      </w:pPr>
      <w:r>
        <w:rPr/>
        <w:t xml:space="preserve">│    </w:t>
      </w:r>
      <w:r>
        <w:rPr/>
        <w:t>(экспериментальная)    │&lt;───┤деятельность├─&gt;│ социального педагога,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деятельность по разработке,│    └─┬─┬─┬─┬─┬──┘  │  педагога-психолога,   │</w:t>
      </w:r>
    </w:p>
    <w:p>
      <w:pPr>
        <w:pStyle w:val="ConsPlusNonformat"/>
        <w:ind w:left="0" w:hanging="0"/>
        <w:jc w:val="both"/>
        <w:rPr/>
      </w:pPr>
      <w:r>
        <w:rPr/>
        <w:t xml:space="preserve">│   </w:t>
      </w:r>
      <w:r>
        <w:rPr/>
        <w:t>апробации, внедрению    │      │ │ │ │ │     │   старшего вожатого    │</w:t>
      </w:r>
    </w:p>
    <w:p>
      <w:pPr>
        <w:pStyle w:val="ConsPlusNonformat"/>
        <w:ind w:left="0" w:hanging="0"/>
        <w:jc w:val="both"/>
        <w:rPr/>
      </w:pPr>
      <w:r>
        <w:rPr/>
        <w:t xml:space="preserve">│   </w:t>
      </w:r>
      <w:r>
        <w:rPr/>
        <w:t>новых образовательных   │      │ │ │ │ │     │                        │</w:t>
      </w:r>
    </w:p>
    <w:p>
      <w:pPr>
        <w:pStyle w:val="ConsPlusNonformat"/>
        <w:ind w:left="0" w:hanging="0"/>
        <w:jc w:val="both"/>
        <w:rPr/>
      </w:pPr>
      <w:r>
        <w:rPr/>
        <w:t xml:space="preserve">│  </w:t>
      </w:r>
      <w:r>
        <w:rPr/>
        <w:t>программ, в том числе    │      │ │ │ │ │     │                        │</w:t>
      </w:r>
    </w:p>
    <w:p>
      <w:pPr>
        <w:pStyle w:val="ConsPlusNonformat"/>
        <w:ind w:left="0" w:hanging="0"/>
        <w:jc w:val="both"/>
        <w:rPr/>
      </w:pPr>
      <w:r>
        <w:rPr/>
        <w:t xml:space="preserve">│ </w:t>
      </w:r>
      <w:r>
        <w:rPr/>
        <w:t>учитывающих региональные  │      │ │ │ │ │     │                        │</w:t>
      </w:r>
    </w:p>
    <w:p>
      <w:pPr>
        <w:pStyle w:val="ConsPlusNonformat"/>
        <w:ind w:left="0" w:hanging="0"/>
        <w:jc w:val="both"/>
        <w:rPr/>
      </w:pPr>
      <w:r>
        <w:rPr/>
        <w:t xml:space="preserve">│       </w:t>
      </w:r>
      <w:r>
        <w:rPr/>
        <w:t>особенности         │      │ │ │ │ │     │                        │</w:t>
      </w:r>
    </w:p>
    <w:p>
      <w:pPr>
        <w:pStyle w:val="ConsPlusNonformat"/>
        <w:ind w:left="0" w:hanging="0"/>
        <w:jc w:val="both"/>
        <w:rPr/>
      </w:pPr>
      <w:r>
        <w:rPr/>
        <w:t>└───────────────────────────┘      │ │ │ │ │     └────────────────────────┘</w:t>
      </w:r>
    </w:p>
    <w:p>
      <w:pPr>
        <w:pStyle w:val="ConsPlusNonformat"/>
        <w:ind w:left="0" w:hanging="0"/>
        <w:jc w:val="both"/>
        <w:rPr/>
      </w:pPr>
      <w:r>
        <w:rPr/>
        <w:t xml:space="preserve">                                   │ │ │ │ │</w:t>
      </w:r>
    </w:p>
    <w:p>
      <w:pPr>
        <w:pStyle w:val="ConsPlusNonformat"/>
        <w:ind w:left="0" w:hanging="0"/>
        <w:jc w:val="both"/>
        <w:rPr/>
      </w:pPr>
      <w:r>
        <w:rPr/>
        <w:t xml:space="preserve">        ┌──────────────────────────┘ │ │ │ └──────────────────────┐</w:t>
      </w:r>
    </w:p>
    <w:p>
      <w:pPr>
        <w:pStyle w:val="ConsPlusNonformat"/>
        <w:ind w:left="0" w:hanging="0"/>
        <w:jc w:val="both"/>
        <w:rPr/>
      </w:pPr>
      <w:r>
        <w:rPr/>
        <w:t xml:space="preserve">        │              ┌─────────────┘ │ └──────────┐             │</w:t>
      </w:r>
    </w:p>
    <w:p>
      <w:pPr>
        <w:pStyle w:val="ConsPlusNonformat"/>
        <w:ind w:left="0" w:hanging="0"/>
        <w:jc w:val="both"/>
        <w:rPr/>
      </w:pPr>
      <w:r>
        <w:rPr/>
        <w:t xml:space="preserve">        </w:t>
      </w:r>
      <w:r>
        <w:rPr/>
        <w:t>\/             \/              \/           \/            \/</w:t>
      </w:r>
    </w:p>
    <w:p>
      <w:pPr>
        <w:pStyle w:val="ConsPlusNonformat"/>
        <w:ind w:left="0" w:hanging="0"/>
        <w:jc w:val="both"/>
        <w:rPr/>
      </w:pPr>
      <w:r>
        <w:rPr/>
        <w:t>┌─────────────┐ ┌────────────┐ ┌──────────────┐ ┌────────┐ ┌──────────────┐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Учебные план │ │Дополнитель-│ │Дополнительное│ │Группы  │ │   Классное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образователь-│ │ное образо- │ │образование   │ │продлен-│ │ руководство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ного учрежде-│ │вание       │ │учреждений    │ │ного дня│ │           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ния          │ │образова-   │ │культуры и    │ │        │ │ Деятельность │</w:t>
      </w:r>
    </w:p>
    <w:p>
      <w:pPr>
        <w:pStyle w:val="ConsPlusNonformat"/>
        <w:ind w:left="0" w:hanging="0"/>
        <w:jc w:val="both"/>
        <w:rPr/>
      </w:pPr>
      <w:r>
        <w:rPr/>
        <w:t>│             │ │</w:t>
      </w:r>
      <w:r>
        <w:rPr/>
        <w:t>тельного    │ │УДОД          │ │Деятель-│ │   классных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Часть,       │ │учреждения  │ │              │ │ность   │ │руководителей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формируемая  │ │            │ │Организация   │ │воспита-│ │ (экскурсии,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участниками  │ │Организация │ │деятельности  │ │телей   │ │   диспуты,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образователь-│ │кружков,    │ │как на базе   │ │ГПД,    │ │круглые столы,│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ного процесса│ │спортивно-  │ │общеобразова- │ │например│ │соревнования,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(секции,     │ │оздорови-   │ │тельных       │ │в рамках│ │ общественно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школьные     │ │тельных     │ │учреждений,   │ │"школы  │ │   полезные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научные      │ │секций,     │ │так и на базе │ │полного │ │  практики и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общества,    │ │поисковых и │ │самих         │ │дня"    │ │    т.д.)  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научные      │ │научных     │ │учреждений    │ │        │ │           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исследования │ │исследований│ │дополнительно-│ │        │ │              │</w:t>
      </w:r>
    </w:p>
    <w:p>
      <w:pPr>
        <w:pStyle w:val="ConsPlusNonformat"/>
        <w:ind w:left="0" w:hanging="0"/>
        <w:jc w:val="both"/>
        <w:rPr/>
      </w:pPr>
      <w:r>
        <w:rPr/>
        <w:t>│</w:t>
      </w:r>
      <w:r>
        <w:rPr/>
        <w:t>и т.д.)      │ │и т.д.      │ │го образования│ │        │ │              │</w:t>
      </w:r>
    </w:p>
    <w:p>
      <w:pPr>
        <w:pStyle w:val="ConsPlusNonformat"/>
        <w:ind w:left="0" w:hanging="0"/>
        <w:jc w:val="both"/>
        <w:rPr/>
      </w:pPr>
      <w:r>
        <w:rPr/>
        <w:t>│             │ │            │ │</w:t>
      </w:r>
      <w:r>
        <w:rPr/>
        <w:t>детей и       │ │        │ │              │</w:t>
      </w:r>
    </w:p>
    <w:p>
      <w:pPr>
        <w:pStyle w:val="ConsPlusNonformat"/>
        <w:ind w:left="0" w:hanging="0"/>
        <w:jc w:val="both"/>
        <w:rPr/>
      </w:pPr>
      <w:r>
        <w:rPr/>
        <w:t>│             │ │            │ │</w:t>
      </w:r>
      <w:r>
        <w:rPr/>
        <w:t>учреждений    │ │        │ │              │</w:t>
      </w:r>
    </w:p>
    <w:p>
      <w:pPr>
        <w:pStyle w:val="ConsPlusNonformat"/>
        <w:ind w:left="0" w:hanging="0"/>
        <w:jc w:val="both"/>
        <w:rPr/>
      </w:pPr>
      <w:r>
        <w:rPr/>
        <w:t>│             │ │            │ │</w:t>
      </w:r>
      <w:r>
        <w:rPr/>
        <w:t>культуры      │ │        │ │              │</w:t>
      </w:r>
    </w:p>
    <w:p>
      <w:pPr>
        <w:pStyle w:val="ConsPlusNonformat"/>
        <w:ind w:left="0" w:hanging="0"/>
        <w:jc w:val="both"/>
        <w:rPr/>
      </w:pPr>
      <w:r>
        <w:rPr/>
        <w:t>└─────────────┘ └────────────┘ └──────────────┘ └────────┘ └──────────────┘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r>
        <w:rPr/>
        <w:t>Рис. 1. Базовая организационная модель реализации</w:t>
      </w:r>
    </w:p>
    <w:p>
      <w:pPr>
        <w:pStyle w:val="ConsPlusNormal"/>
        <w:ind w:left="0" w:hanging="0"/>
        <w:jc w:val="center"/>
        <w:rPr/>
      </w:pPr>
      <w:r>
        <w:rPr/>
        <w:t>внеурочной деятельности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образовательные программы учреждений дополнительного образования детей, а также учреждений культуры и спорта;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организацию деятельности групп продленного дня;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классное руководство (экскурсии, диспуты, круглые столы, соревнования, общественно полезные практики и т.д.);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модель "школы полного дня";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оптимизационная модель (на основе оптимизации всех внутренних ресурсов образовательного учреждения);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инновационно-образовательная модель.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Модель дополнительного образования.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Связующим звеном между внеурочной деятельностью и дополнительным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деятельностная основа организации образовательного процесса, присущая дополнительному образованию детей.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Модель "школы полного дня". Основой для модели "школы полного дня" является реализация внеурочной деятельности преимущественно воспитателями групп продленного дня.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Данную модель характеризует: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разноакцентированных пространств;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опора на интеграцию основных и дополнительных образовательных программ.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тьютор и другие).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социально значимую, творческую деятельность обучающихся.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Инновационно-образовательная модель. Инновационно-образовательная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Инновационно-образовательная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Создание условий для реализации внеурочной деятельности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в УДОД. 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 создание малочисленных учебных групп на 2 - 4 ученика в каждом из этих учреждений является неэффективным.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обучающихся приводит к открытию на базе учреждения общего образования соответствующего филиала УДОД.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Третья составляющая вариативной модели взаимодействия - это модель с использованием стажировочной площадки на базе учреждения дополнительного образования детей. В этом случае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данной модели обязательным элементом (за исключением случая наличия соответствующей лицензии у УДОД)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(ИПКиПРО),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стажировочной площадки. Данная модель может быть наиболее перспективной в условиях ограниченности ресурсов учреждений дополнительного образования детей.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финансово-экономические процессы и оснащенность объектов инфраструктуры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Примерный перечень локальных актов образовательного учреждения, обеспечивающих реализацию внеурочной деятельности в рамках ФГОС, приведен в </w:t>
      </w:r>
      <w:hyperlink w:anchor="Par194" w:tgtFrame="ПРИМЕРНЫЙ ПЕРЕЧЕНЬ">
        <w:r>
          <w:rPr>
            <w:rStyle w:val="ListLabel3"/>
            <w:color w:val="0000FF"/>
          </w:rPr>
          <w:t>Приложении</w:t>
        </w:r>
      </w:hyperlink>
      <w:r>
        <w:rPr/>
        <w:t>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Финансово-экономические условия. 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(пп. 6.1 п. 1 ст. 29 Закона Российской Федерации "Об образовании"). Согласно пункту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1.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траекторий, в том числе в рамках системы поиска и содействия развитию одаренных детей.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данном случае предполагается финансирование: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от урочной);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внутришкольного дополнительного образования (программы внеурочной деятельности, ориентированные на планируемые результаты освоения основной образовательной программы начального общего образования);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групп продленного дня (модель "школа полного дня");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2. 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отношении внебюджетного финансирования и, в частности, платных дополнительных образовательных услуг.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Согласно пунктам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развитие новой системы оплаты труда, ориентированной на ФГОС НОО;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совершенствование правового положения государственных (муниципальных) учреждений;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разработка и апробация новых регуляторов экономических механизмов в системе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информационное обеспечение реализации внеурочной деятельности может быть включено: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и ведение различных баз данных (нормативно-правовой, методической и других);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выбора курсов и дисциплин.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пространства внеурочной деятельности.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через: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диверсификацию форм методической работы в образовательном учреждении;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диссеминацию передового педагогического опыта на основе новых информационно-коммуникационных технологий;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внедрение новых моделей повышения квалификации, в том числе на основе дистанционных образовательных технологий.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Закон Российской Федерации "Об образовании" (в действующей редакции);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Федеральный государственный образовательный стандарт начального общего образования (утвержден Приказом Минобрнауки России от 6 октября 2009 г. N 373, зарегистрирован в Минюсте России 22 декабря 2009 г., регистрационный номер 17785) с изменениями (утверждены Приказом Минобрнауки России от 26 ноября 2010 г. N 1241, зарегистрированы в Минюсте России 4 февраля 2011 г., регистрационный номер 19707);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февраля 2011 г., регистрационный номер 19682);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номер 19676).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Кадровые условия для реализации внеурочной деятельности: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укомплектованность образовательного учреждения необходимыми педагогическими, руководящими и иными работниками;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соответствующей квалификации педагогических и иных работников образовательного учреждения;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непрерывность профессионального развития педагогических работников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отсутствии возможности для реализации внеурочной деятельности, в том числе по причине кадровой неукомплектованности,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</w:t>
      </w:r>
    </w:p>
    <w:p>
      <w:pPr>
        <w:pStyle w:val="ConsPlusNormal"/>
        <w:ind w:left="0" w:hanging="0"/>
        <w:jc w:val="right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1" w:name="Par194"/>
      <w:bookmarkEnd w:id="1"/>
      <w:r>
        <w:rPr/>
        <w:t>ПРИМЕРНЫЙ ПЕРЕЧЕНЬ</w:t>
      </w:r>
    </w:p>
    <w:p>
      <w:pPr>
        <w:pStyle w:val="ConsPlusNormal"/>
        <w:ind w:left="0" w:hanging="0"/>
        <w:jc w:val="center"/>
        <w:rPr/>
      </w:pPr>
      <w:r>
        <w:rPr/>
        <w:t>ЛОКАЛЬНЫХ АКТОВ ОБРАЗОВАТЕЛЬНОГО УЧРЕЖДЕНИЯ,</w:t>
      </w:r>
    </w:p>
    <w:p>
      <w:pPr>
        <w:pStyle w:val="ConsPlusNormal"/>
        <w:ind w:left="0" w:hanging="0"/>
        <w:jc w:val="center"/>
        <w:rPr/>
      </w:pPr>
      <w:r>
        <w:rPr/>
        <w:t>ОБЕСПЕЧИВАЮЩИХ РЕАЛИЗАЦИЮ ВНЕУРОЧНОЙ ДЕЯТЕЛЬНОСТИ В РАМКАХ</w:t>
      </w:r>
    </w:p>
    <w:p>
      <w:pPr>
        <w:pStyle w:val="ConsPlusNormal"/>
        <w:ind w:left="0" w:hanging="0"/>
        <w:jc w:val="center"/>
        <w:rPr/>
      </w:pPr>
      <w:r>
        <w:rPr/>
        <w:t>ФЕДЕРАЛЬНОГО ГОСУДАРСТВЕННОГО ОБРАЗОВАТЕЛЬНОГО СТАНДАРТА</w:t>
      </w:r>
    </w:p>
    <w:p>
      <w:pPr>
        <w:pStyle w:val="ConsPlusNormal"/>
        <w:ind w:left="0" w:hanging="0"/>
        <w:jc w:val="center"/>
        <w:rPr/>
      </w:pPr>
      <w:r>
        <w:rPr/>
        <w:t>НАЧАЛЬНОГО ОБЩЕГО ОБРАЗОВАНИЯ</w:t>
      </w:r>
    </w:p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1. Устав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2. Правила внутреннего распорядка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3. Договор образовательного учреждения с учредителем.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4. Договор образовательного учреждения с родителями (законными представителями) обучающихся.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6. Положения о формах самоуправления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7. Договор о сотрудничестве общеобразовательного учреждения и учреждений дополнительного образования детей.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8. Положение о группе продленного дня ("школе полного дня").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9. Должностные инструкции работников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10. Приказы об утверждении рабочих программ учебных курсов, дисциплин (модулей).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11. Положение о распределении стимулирующей части фонда оплаты труда работников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12. Положение об оказании платных дополнительных образовательных услуг.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13. Положение об организации и проведении публичного отчета образовательного учреждения.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14. Положение об учебном кабинете.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15. Положение об информационно-библиотечном центре.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16. Положение о культурно-досуговом центре.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17. Положение о физкультурно-оздоровительном центре.</w:t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0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&lt;Письмо&gt; Минобрнауки РФ от 12.05.2011 N 03-296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организации внеурочной деятельности при введении федерального государ...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09.02.2018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en-US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en-US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Company>КонсультантПлюс Версия 4017.00.21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2018-02-09T20:33:00Z</dcterms:created>
  <dc:creator/>
  <dc:description/>
  <dc:language>en-US</dc:language>
  <cp:lastModifiedBy/>
  <cp:revision>0</cp:revision>
  <dc:subject/>
  <dc:title>&lt;Письмо&gt; Минобрнауки РФ от 12.05.2011 N 03-296"Об организации внеурочной деятельности при введении федерального государственного образовательного стандарта общего образования"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